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28"/>
        </w:tabs>
        <w:spacing w:line="600" w:lineRule="exact"/>
        <w:jc w:val="left"/>
        <w:rPr>
          <w:rFonts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年度重庆市教委科学技术研究计划项目申报名额表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036"/>
        <w:gridCol w:w="1324"/>
        <w:gridCol w:w="1324"/>
        <w:gridCol w:w="13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5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</w:t>
            </w:r>
            <w:r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根据学校科研</w:t>
            </w:r>
            <w:r>
              <w:rPr>
                <w:color w:val="000000"/>
                <w:sz w:val="24"/>
              </w:rPr>
              <w:t>发展要求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各科研平台、中心及二级学院</w:t>
            </w:r>
            <w:r>
              <w:rPr>
                <w:rFonts w:hint="eastAsia"/>
                <w:color w:val="000000"/>
                <w:sz w:val="24"/>
              </w:rPr>
              <w:t>不得</w:t>
            </w:r>
            <w:r>
              <w:rPr>
                <w:color w:val="000000"/>
                <w:sz w:val="24"/>
              </w:rPr>
              <w:t>组织少于分配名额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color w:val="000000"/>
                <w:sz w:val="24"/>
              </w:rPr>
              <w:t>人员进行申报。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3" w:type="pct"/>
            <w:vMerge w:val="restart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368" w:type="pct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校内</w:t>
            </w:r>
            <w:r>
              <w:rPr>
                <w:b/>
                <w:color w:val="000000"/>
                <w:sz w:val="24"/>
              </w:rPr>
              <w:t>单位</w:t>
            </w:r>
          </w:p>
        </w:tc>
        <w:tc>
          <w:tcPr>
            <w:tcW w:w="2329" w:type="pct"/>
            <w:gridSpan w:val="3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申报名额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3" w:type="pct"/>
            <w:vMerge w:val="continue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368" w:type="pct"/>
            <w:vMerge w:val="continue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77" w:type="pct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重大项目</w:t>
            </w:r>
          </w:p>
        </w:tc>
        <w:tc>
          <w:tcPr>
            <w:tcW w:w="777" w:type="pct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重点项目</w:t>
            </w:r>
          </w:p>
        </w:tc>
        <w:tc>
          <w:tcPr>
            <w:tcW w:w="775" w:type="pct"/>
          </w:tcPr>
          <w:p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软件</w:t>
            </w:r>
            <w:r>
              <w:rPr>
                <w:color w:val="000000"/>
                <w:sz w:val="24"/>
              </w:rPr>
              <w:t>与人工</w:t>
            </w:r>
            <w:r>
              <w:rPr>
                <w:rFonts w:hint="eastAsia"/>
                <w:color w:val="000000"/>
                <w:sz w:val="24"/>
              </w:rPr>
              <w:t>智能</w:t>
            </w:r>
            <w:r>
              <w:rPr>
                <w:color w:val="000000"/>
                <w:sz w:val="24"/>
              </w:rPr>
              <w:t>学院</w:t>
            </w:r>
            <w:r>
              <w:rPr>
                <w:rFonts w:hint="eastAsia"/>
                <w:color w:val="000000"/>
                <w:sz w:val="24"/>
              </w:rPr>
              <w:t>（含金融大数据智能应用重庆市高校工程研究中心）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775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  <w:r>
              <w:rPr>
                <w:color w:val="000000"/>
                <w:sz w:val="24"/>
              </w:rPr>
              <w:t>学院</w:t>
            </w:r>
            <w:r>
              <w:rPr>
                <w:rFonts w:hint="eastAsia"/>
                <w:color w:val="000000"/>
                <w:sz w:val="24"/>
              </w:rPr>
              <w:t>（含智能制造物联网应用技术研究群体）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</w:t>
            </w:r>
            <w:r>
              <w:rPr>
                <w:color w:val="000000"/>
                <w:sz w:val="24"/>
              </w:rPr>
              <w:t>信息学院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5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数字</w:t>
            </w:r>
            <w:r>
              <w:rPr>
                <w:color w:val="000000"/>
                <w:sz w:val="24"/>
              </w:rPr>
              <w:t>艺术学院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重庆市数字影视与新媒体工程技术研究中心）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5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土木工程</w:t>
            </w:r>
            <w:r>
              <w:rPr>
                <w:color w:val="000000"/>
                <w:sz w:val="24"/>
              </w:rPr>
              <w:t>学院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5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2368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管理</w:t>
            </w:r>
            <w:r>
              <w:rPr>
                <w:color w:val="000000"/>
                <w:sz w:val="24"/>
              </w:rPr>
              <w:t>学院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75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1" w:type="pct"/>
            <w:gridSpan w:val="2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合计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777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775" w:type="pct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0E3C"/>
    <w:rsid w:val="2DF908FD"/>
    <w:rsid w:val="595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2020-04-13T03:06:00Z</dcterms:created>
  <dc:creator>玫明欢</dc:creator>
  <cp:lastModifiedBy>玫明欢</cp:lastModifiedBy>
  <dcterms:modified xsi:type="dcterms:W3CDTF">2020-04-13T03:11:56Z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