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1209" w:lineRule="exact"/>
        <w:ind w:left="109" w:right="0" w:firstLine="0"/>
        <w:jc w:val="left"/>
        <w:rPr>
          <w:b/>
          <w:sz w:val="72"/>
        </w:rPr>
      </w:pPr>
      <w:r>
        <w:rPr>
          <w:rFonts w:ascii="Times New Roman" w:eastAsia="Times New Roman"/>
          <w:color w:val="FF0000"/>
          <w:sz w:val="72"/>
          <w:u w:val="double" w:color="FF0000"/>
        </w:rPr>
        <w:t xml:space="preserve"> </w:t>
      </w:r>
      <w:r>
        <w:rPr>
          <w:b/>
          <w:color w:val="FF0000"/>
          <w:sz w:val="72"/>
          <w:u w:val="double" w:color="FF0000"/>
        </w:rPr>
        <w:t>重 庆 市 高 等 教 育 学 会</w:t>
      </w:r>
    </w:p>
    <w:p>
      <w:pPr>
        <w:pStyle w:val="2"/>
        <w:spacing w:before="24" w:line="276" w:lineRule="auto"/>
        <w:ind w:left="573"/>
      </w:pPr>
      <w:bookmarkStart w:id="9" w:name="_GoBack"/>
      <w:r>
        <w:t>关于开展中国共产党建党 100 周年“创新生态引领科技创新与创业高质量发展”</w:t>
      </w:r>
    </w:p>
    <w:p>
      <w:pPr>
        <w:spacing w:before="6"/>
        <w:ind w:left="572" w:right="519" w:firstLine="0"/>
        <w:jc w:val="center"/>
        <w:rPr>
          <w:b/>
          <w:sz w:val="44"/>
        </w:rPr>
      </w:pPr>
      <w:r>
        <w:rPr>
          <w:b/>
          <w:sz w:val="44"/>
        </w:rPr>
        <w:t>学术研讨会主题征文活动的通知</w:t>
      </w:r>
    </w:p>
    <w:bookmarkEnd w:id="9"/>
    <w:p>
      <w:pPr>
        <w:pStyle w:val="4"/>
        <w:spacing w:before="1"/>
        <w:rPr>
          <w:b/>
          <w:sz w:val="38"/>
        </w:rPr>
      </w:pPr>
    </w:p>
    <w:p>
      <w:pPr>
        <w:pStyle w:val="3"/>
        <w:spacing w:line="240" w:lineRule="auto"/>
        <w:ind w:left="320"/>
      </w:pPr>
      <w:r>
        <w:t>各高校、研究机构、政府部门、企业：</w:t>
      </w:r>
    </w:p>
    <w:p>
      <w:pPr>
        <w:pStyle w:val="4"/>
        <w:spacing w:before="34" w:line="254" w:lineRule="auto"/>
        <w:ind w:left="320" w:right="261" w:firstLine="640"/>
        <w:jc w:val="both"/>
      </w:pPr>
      <w:r>
        <w:t>重庆市高等教育学会</w:t>
      </w:r>
      <w:r>
        <w:rPr>
          <w:spacing w:val="-23"/>
        </w:rPr>
        <w:t>、《重庆高教研究》编辑部、成渝地区双城经济圈创新创业联盟、成渝地区双城经济圈高校就业创业</w:t>
      </w:r>
      <w:r>
        <w:rPr>
          <w:spacing w:val="-21"/>
        </w:rPr>
        <w:t xml:space="preserve">联盟将于 </w:t>
      </w:r>
      <w:r>
        <w:t>2021</w:t>
      </w:r>
      <w:r>
        <w:rPr>
          <w:spacing w:val="-8"/>
        </w:rPr>
        <w:t xml:space="preserve"> 年 </w:t>
      </w:r>
      <w:r>
        <w:t>9</w:t>
      </w:r>
      <w:r>
        <w:rPr>
          <w:spacing w:val="-3"/>
        </w:rPr>
        <w:t xml:space="preserve"> 月联合举办成渝地区双城经济圈创新创业</w:t>
      </w:r>
    </w:p>
    <w:p>
      <w:pPr>
        <w:pStyle w:val="4"/>
        <w:spacing w:line="254" w:lineRule="auto"/>
        <w:ind w:left="320" w:right="261"/>
        <w:jc w:val="both"/>
      </w:pPr>
      <w:r>
        <w:rPr>
          <w:spacing w:val="-11"/>
        </w:rPr>
        <w:t xml:space="preserve">峰会，期间将举办“中国共产党建党 </w:t>
      </w:r>
      <w:r>
        <w:t>100</w:t>
      </w:r>
      <w:r>
        <w:rPr>
          <w:spacing w:val="-4"/>
        </w:rPr>
        <w:t xml:space="preserve"> 周年创新生态引领科技创新与创业高质量发展”学术研讨会。现面向全国征集学术研讨会论文，相关事宜通知如下：</w:t>
      </w:r>
    </w:p>
    <w:p>
      <w:pPr>
        <w:pStyle w:val="3"/>
      </w:pPr>
      <w:r>
        <w:t>一、目的意义</w:t>
      </w:r>
    </w:p>
    <w:p>
      <w:pPr>
        <w:pStyle w:val="4"/>
        <w:spacing w:before="30"/>
        <w:ind w:left="960"/>
      </w:pPr>
      <w:r>
        <w:t>2021 年，喜迎中国共产党百年华诞，在举国同庆的重要</w:t>
      </w:r>
    </w:p>
    <w:p>
      <w:pPr>
        <w:pStyle w:val="4"/>
        <w:spacing w:before="35" w:line="254" w:lineRule="auto"/>
        <w:ind w:left="320" w:right="105"/>
      </w:pPr>
      <w:r>
        <w:rPr>
          <w:spacing w:val="-8"/>
        </w:rPr>
        <w:t xml:space="preserve">时刻，为庆祝中国共产党成立 </w:t>
      </w:r>
      <w:r>
        <w:t>100</w:t>
      </w:r>
      <w:r>
        <w:rPr>
          <w:spacing w:val="-8"/>
        </w:rPr>
        <w:t xml:space="preserve"> 周年，积极贯彻党的十九大和党的十九届三中、四中、五中全会精神，深入学习习近平总</w:t>
      </w:r>
      <w:r>
        <w:rPr>
          <w:spacing w:val="-15"/>
          <w:w w:val="95"/>
        </w:rPr>
        <w:t xml:space="preserve">书记关于科技创新工作的重要论述和讲话精神。同时，为总结、  </w:t>
      </w:r>
      <w:r>
        <w:rPr>
          <w:spacing w:val="-15"/>
        </w:rPr>
        <w:t>交流并推广全国各高校、研究机构、创投机构等创新创业工作的成功做法和典型案例，探寻创新创业教育改革的有效途径，</w:t>
      </w:r>
    </w:p>
    <w:p>
      <w:pPr>
        <w:spacing w:after="0" w:line="254" w:lineRule="auto"/>
        <w:sectPr>
          <w:footerReference r:id="rId5" w:type="default"/>
          <w:type w:val="continuous"/>
          <w:pgSz w:w="11910" w:h="16840"/>
          <w:pgMar w:top="1500" w:right="1380" w:bottom="1180" w:left="1300" w:header="720" w:footer="990" w:gutter="0"/>
          <w:pgNumType w:start="1"/>
          <w:cols w:space="720" w:num="1"/>
        </w:sectPr>
      </w:pPr>
    </w:p>
    <w:p>
      <w:pPr>
        <w:pStyle w:val="4"/>
        <w:spacing w:line="254" w:lineRule="auto"/>
        <w:ind w:left="320" w:right="264"/>
        <w:jc w:val="both"/>
      </w:pPr>
      <w:r>
        <w:rPr>
          <w:spacing w:val="-6"/>
          <w:w w:val="95"/>
        </w:rPr>
        <w:t>提升创新创业工作的理论水平，重庆市高等教育学会</w:t>
      </w:r>
      <w:r>
        <w:rPr>
          <w:spacing w:val="-48"/>
          <w:w w:val="95"/>
        </w:rPr>
        <w:t xml:space="preserve">、《重庆高  </w:t>
      </w:r>
      <w:r>
        <w:rPr>
          <w:spacing w:val="-48"/>
        </w:rPr>
        <w:t>教研究》编辑部、成渝地区双城经济圈创新创业联盟、成渝地区双城经济圈高校就业创业联盟决定面向全国开展“中国共产</w:t>
      </w:r>
      <w:r>
        <w:rPr>
          <w:spacing w:val="-42"/>
        </w:rPr>
        <w:t xml:space="preserve">党建党 </w:t>
      </w:r>
      <w:r>
        <w:t>100</w:t>
      </w:r>
      <w:r>
        <w:rPr>
          <w:spacing w:val="-8"/>
        </w:rPr>
        <w:t xml:space="preserve"> 周年创新生态引领科技创新与创业高质量发展”主题征文活动。</w:t>
      </w:r>
    </w:p>
    <w:p>
      <w:pPr>
        <w:pStyle w:val="3"/>
        <w:spacing w:line="584" w:lineRule="exact"/>
      </w:pPr>
      <w:r>
        <w:t>二、征集对象</w:t>
      </w:r>
    </w:p>
    <w:p>
      <w:pPr>
        <w:pStyle w:val="4"/>
        <w:spacing w:before="31" w:line="254" w:lineRule="auto"/>
        <w:ind w:left="320" w:right="105" w:firstLine="640"/>
      </w:pPr>
      <w:r>
        <w:t>全国高等院校研究经济学、管理学、马克思主义理论、思</w:t>
      </w:r>
      <w:r>
        <w:rPr>
          <w:spacing w:val="-13"/>
          <w:w w:val="95"/>
        </w:rPr>
        <w:t xml:space="preserve">想政治教育、创新创业教育领域的专家学者、在读博士研究生；  </w:t>
      </w:r>
      <w:r>
        <w:rPr>
          <w:spacing w:val="-19"/>
          <w:w w:val="95"/>
        </w:rPr>
        <w:t xml:space="preserve">高校创新创业工作者、创新创业教育任课教师、创新创业导师；  </w:t>
      </w:r>
      <w:r>
        <w:rPr>
          <w:spacing w:val="-19"/>
        </w:rPr>
        <w:t>众创空间、大学科技园、创新创业基地、创投机构等相关工作人员，地方政府、企业以及其他社会各界关心创新创业的机构或个人。</w:t>
      </w:r>
    </w:p>
    <w:p>
      <w:pPr>
        <w:pStyle w:val="3"/>
        <w:spacing w:line="582" w:lineRule="exact"/>
      </w:pPr>
      <w:r>
        <w:t>三、选题方向</w:t>
      </w:r>
    </w:p>
    <w:p>
      <w:pPr>
        <w:pStyle w:val="8"/>
        <w:numPr>
          <w:ilvl w:val="0"/>
          <w:numId w:val="1"/>
        </w:numPr>
        <w:tabs>
          <w:tab w:val="left" w:pos="1226"/>
        </w:tabs>
        <w:spacing w:before="34" w:after="0" w:line="240" w:lineRule="auto"/>
        <w:ind w:left="1225" w:right="0" w:hanging="266"/>
        <w:jc w:val="left"/>
        <w:rPr>
          <w:sz w:val="32"/>
        </w:rPr>
      </w:pPr>
      <w:r>
        <w:rPr>
          <w:sz w:val="32"/>
        </w:rPr>
        <w:t>习近平关于科技创新工作的重要论述研究；</w:t>
      </w:r>
    </w:p>
    <w:p>
      <w:pPr>
        <w:pStyle w:val="8"/>
        <w:numPr>
          <w:ilvl w:val="0"/>
          <w:numId w:val="1"/>
        </w:numPr>
        <w:tabs>
          <w:tab w:val="left" w:pos="1226"/>
        </w:tabs>
        <w:spacing w:before="35" w:after="0" w:line="240" w:lineRule="auto"/>
        <w:ind w:left="1225" w:right="0" w:hanging="266"/>
        <w:jc w:val="left"/>
        <w:rPr>
          <w:sz w:val="32"/>
        </w:rPr>
      </w:pPr>
      <w:r>
        <w:rPr>
          <w:sz w:val="32"/>
        </w:rPr>
        <w:t>百年未有之大变局视域下高校创新创业教育研究；</w:t>
      </w:r>
    </w:p>
    <w:p>
      <w:pPr>
        <w:pStyle w:val="8"/>
        <w:numPr>
          <w:ilvl w:val="0"/>
          <w:numId w:val="1"/>
        </w:numPr>
        <w:tabs>
          <w:tab w:val="left" w:pos="1226"/>
        </w:tabs>
        <w:spacing w:before="34" w:after="0" w:line="240" w:lineRule="auto"/>
        <w:ind w:left="1225" w:right="0" w:hanging="266"/>
        <w:jc w:val="left"/>
        <w:rPr>
          <w:sz w:val="32"/>
        </w:rPr>
      </w:pPr>
      <w:r>
        <w:rPr>
          <w:spacing w:val="-7"/>
          <w:sz w:val="32"/>
        </w:rPr>
        <w:t>中国共产党科技创新与创业百年发展的经验与启示研究；</w:t>
      </w:r>
    </w:p>
    <w:p>
      <w:pPr>
        <w:pStyle w:val="8"/>
        <w:numPr>
          <w:ilvl w:val="0"/>
          <w:numId w:val="1"/>
        </w:numPr>
        <w:tabs>
          <w:tab w:val="left" w:pos="1226"/>
        </w:tabs>
        <w:spacing w:before="34" w:after="0" w:line="240" w:lineRule="auto"/>
        <w:ind w:left="1225" w:right="0" w:hanging="266"/>
        <w:jc w:val="left"/>
        <w:rPr>
          <w:sz w:val="32"/>
        </w:rPr>
      </w:pPr>
      <w:r>
        <w:rPr>
          <w:sz w:val="32"/>
        </w:rPr>
        <w:t>成渝地区双城经济圈创新生态系统构建研究；</w:t>
      </w:r>
    </w:p>
    <w:p>
      <w:pPr>
        <w:pStyle w:val="8"/>
        <w:numPr>
          <w:ilvl w:val="0"/>
          <w:numId w:val="1"/>
        </w:numPr>
        <w:tabs>
          <w:tab w:val="left" w:pos="1226"/>
        </w:tabs>
        <w:spacing w:before="34" w:after="0" w:line="240" w:lineRule="auto"/>
        <w:ind w:left="1225" w:right="0" w:hanging="266"/>
        <w:jc w:val="left"/>
        <w:rPr>
          <w:sz w:val="32"/>
        </w:rPr>
      </w:pPr>
      <w:r>
        <w:rPr>
          <w:sz w:val="32"/>
        </w:rPr>
        <w:t>成渝地区双城经济圈创新创业校地校企合作模式研究；</w:t>
      </w:r>
    </w:p>
    <w:p>
      <w:pPr>
        <w:pStyle w:val="8"/>
        <w:numPr>
          <w:ilvl w:val="0"/>
          <w:numId w:val="1"/>
        </w:numPr>
        <w:tabs>
          <w:tab w:val="left" w:pos="1226"/>
        </w:tabs>
        <w:spacing w:before="34" w:after="0" w:line="240" w:lineRule="auto"/>
        <w:ind w:left="1225" w:right="0" w:hanging="266"/>
        <w:jc w:val="left"/>
        <w:rPr>
          <w:sz w:val="32"/>
        </w:rPr>
      </w:pPr>
      <w:r>
        <w:rPr>
          <w:spacing w:val="-19"/>
          <w:sz w:val="32"/>
        </w:rPr>
        <w:t>成渝地区双城经济圈创新创业与产学研深度融合模式研究；</w:t>
      </w:r>
    </w:p>
    <w:p>
      <w:pPr>
        <w:pStyle w:val="8"/>
        <w:numPr>
          <w:ilvl w:val="0"/>
          <w:numId w:val="1"/>
        </w:numPr>
        <w:tabs>
          <w:tab w:val="left" w:pos="1226"/>
        </w:tabs>
        <w:spacing w:before="34" w:after="0" w:line="240" w:lineRule="auto"/>
        <w:ind w:left="1225" w:right="0" w:hanging="266"/>
        <w:jc w:val="left"/>
        <w:rPr>
          <w:sz w:val="32"/>
        </w:rPr>
      </w:pPr>
      <w:bookmarkStart w:id="0" w:name="7.国内外高校创新创业教育综合改革研究；"/>
      <w:bookmarkEnd w:id="0"/>
      <w:bookmarkStart w:id="1" w:name="7.国内外高校创新创业教育综合改革研究；"/>
      <w:bookmarkEnd w:id="1"/>
      <w:r>
        <w:rPr>
          <w:w w:val="95"/>
          <w:sz w:val="32"/>
        </w:rPr>
        <w:t>国内外高校创新创业教育综合改革研究；</w:t>
      </w:r>
    </w:p>
    <w:p>
      <w:pPr>
        <w:pStyle w:val="8"/>
        <w:numPr>
          <w:ilvl w:val="0"/>
          <w:numId w:val="1"/>
        </w:numPr>
        <w:tabs>
          <w:tab w:val="left" w:pos="1226"/>
        </w:tabs>
        <w:spacing w:before="35" w:after="0" w:line="240" w:lineRule="auto"/>
        <w:ind w:left="1225" w:right="0" w:hanging="266"/>
        <w:jc w:val="left"/>
        <w:rPr>
          <w:sz w:val="32"/>
        </w:rPr>
      </w:pPr>
      <w:r>
        <w:rPr>
          <w:w w:val="95"/>
          <w:sz w:val="32"/>
        </w:rPr>
        <w:t>国内外高校创新创业人才培养机制研究；</w:t>
      </w:r>
    </w:p>
    <w:p>
      <w:pPr>
        <w:pStyle w:val="8"/>
        <w:numPr>
          <w:ilvl w:val="0"/>
          <w:numId w:val="1"/>
        </w:numPr>
        <w:tabs>
          <w:tab w:val="left" w:pos="1226"/>
        </w:tabs>
        <w:spacing w:before="34" w:after="0" w:line="240" w:lineRule="auto"/>
        <w:ind w:left="1225" w:right="0" w:hanging="266"/>
        <w:jc w:val="left"/>
        <w:rPr>
          <w:sz w:val="32"/>
        </w:rPr>
      </w:pPr>
      <w:bookmarkStart w:id="2" w:name="9.国内外高校创新创业教育课程体系研究；"/>
      <w:bookmarkEnd w:id="2"/>
      <w:bookmarkStart w:id="3" w:name="9.国内外高校创新创业教育课程体系研究；"/>
      <w:bookmarkEnd w:id="3"/>
      <w:r>
        <w:rPr>
          <w:w w:val="95"/>
          <w:sz w:val="32"/>
        </w:rPr>
        <w:t>国内外高校创新创业教育课程体系研究；</w:t>
      </w:r>
    </w:p>
    <w:p>
      <w:pPr>
        <w:spacing w:after="0" w:line="240" w:lineRule="auto"/>
        <w:jc w:val="left"/>
        <w:rPr>
          <w:sz w:val="32"/>
        </w:rPr>
        <w:sectPr>
          <w:pgSz w:w="11910" w:h="16840"/>
          <w:pgMar w:top="1440" w:right="1380" w:bottom="1180" w:left="1300" w:header="0" w:footer="990" w:gutter="0"/>
          <w:cols w:space="720" w:num="1"/>
        </w:sectPr>
      </w:pPr>
    </w:p>
    <w:p>
      <w:pPr>
        <w:pStyle w:val="8"/>
        <w:numPr>
          <w:ilvl w:val="0"/>
          <w:numId w:val="1"/>
        </w:numPr>
        <w:tabs>
          <w:tab w:val="left" w:pos="1413"/>
        </w:tabs>
        <w:spacing w:before="0" w:after="0" w:line="587" w:lineRule="exact"/>
        <w:ind w:left="1412" w:right="0" w:hanging="453"/>
        <w:jc w:val="left"/>
        <w:rPr>
          <w:sz w:val="32"/>
        </w:rPr>
      </w:pPr>
      <w:r>
        <w:rPr>
          <w:sz w:val="32"/>
        </w:rPr>
        <w:t>国内外高校创新创业教学方法和考核方式改革研究；</w:t>
      </w:r>
    </w:p>
    <w:p>
      <w:pPr>
        <w:pStyle w:val="8"/>
        <w:numPr>
          <w:ilvl w:val="0"/>
          <w:numId w:val="1"/>
        </w:numPr>
        <w:tabs>
          <w:tab w:val="left" w:pos="1413"/>
        </w:tabs>
        <w:spacing w:before="34" w:after="0" w:line="240" w:lineRule="auto"/>
        <w:ind w:left="1412" w:right="0" w:hanging="453"/>
        <w:jc w:val="left"/>
        <w:rPr>
          <w:sz w:val="32"/>
        </w:rPr>
      </w:pPr>
      <w:r>
        <w:rPr>
          <w:sz w:val="32"/>
        </w:rPr>
        <w:t>国内外创新创业生态体系先进模式与经验研究；</w:t>
      </w:r>
    </w:p>
    <w:p>
      <w:pPr>
        <w:pStyle w:val="8"/>
        <w:numPr>
          <w:ilvl w:val="0"/>
          <w:numId w:val="1"/>
        </w:numPr>
        <w:tabs>
          <w:tab w:val="left" w:pos="1413"/>
        </w:tabs>
        <w:spacing w:before="34" w:after="0" w:line="240" w:lineRule="auto"/>
        <w:ind w:left="1412" w:right="0" w:hanging="453"/>
        <w:jc w:val="left"/>
        <w:rPr>
          <w:sz w:val="32"/>
        </w:rPr>
      </w:pPr>
      <w:r>
        <w:rPr>
          <w:sz w:val="32"/>
        </w:rPr>
        <w:t>国内外高校创新创业教育师资队伍建设研究；</w:t>
      </w:r>
    </w:p>
    <w:p>
      <w:pPr>
        <w:pStyle w:val="8"/>
        <w:numPr>
          <w:ilvl w:val="0"/>
          <w:numId w:val="1"/>
        </w:numPr>
        <w:tabs>
          <w:tab w:val="left" w:pos="1413"/>
        </w:tabs>
        <w:spacing w:before="34" w:after="0" w:line="240" w:lineRule="auto"/>
        <w:ind w:left="1412" w:right="0" w:hanging="453"/>
        <w:jc w:val="left"/>
        <w:rPr>
          <w:sz w:val="32"/>
        </w:rPr>
      </w:pPr>
      <w:r>
        <w:rPr>
          <w:sz w:val="32"/>
        </w:rPr>
        <w:t>国内外高校大学生创新创业指导服务经验研究；</w:t>
      </w:r>
    </w:p>
    <w:p>
      <w:pPr>
        <w:pStyle w:val="8"/>
        <w:numPr>
          <w:ilvl w:val="0"/>
          <w:numId w:val="1"/>
        </w:numPr>
        <w:tabs>
          <w:tab w:val="left" w:pos="1413"/>
        </w:tabs>
        <w:spacing w:before="34" w:after="0" w:line="240" w:lineRule="auto"/>
        <w:ind w:left="1412" w:right="0" w:hanging="453"/>
        <w:jc w:val="left"/>
        <w:rPr>
          <w:sz w:val="32"/>
        </w:rPr>
      </w:pPr>
      <w:bookmarkStart w:id="4" w:name="14.国内外创新创业政策保障体系研究；"/>
      <w:bookmarkEnd w:id="4"/>
      <w:bookmarkStart w:id="5" w:name="14.国内外创新创业政策保障体系研究；"/>
      <w:bookmarkEnd w:id="5"/>
      <w:r>
        <w:rPr>
          <w:sz w:val="32"/>
        </w:rPr>
        <w:t>国内外创新创业政策保障体系研究；</w:t>
      </w:r>
    </w:p>
    <w:p>
      <w:pPr>
        <w:pStyle w:val="8"/>
        <w:numPr>
          <w:ilvl w:val="0"/>
          <w:numId w:val="1"/>
        </w:numPr>
        <w:tabs>
          <w:tab w:val="left" w:pos="1413"/>
        </w:tabs>
        <w:spacing w:before="34" w:after="0" w:line="240" w:lineRule="auto"/>
        <w:ind w:left="1412" w:right="0" w:hanging="453"/>
        <w:jc w:val="left"/>
        <w:rPr>
          <w:sz w:val="32"/>
        </w:rPr>
      </w:pPr>
      <w:r>
        <w:rPr>
          <w:sz w:val="32"/>
        </w:rPr>
        <w:t>国内外众创空间和孵化基地建设与运营研究；</w:t>
      </w:r>
    </w:p>
    <w:p>
      <w:pPr>
        <w:pStyle w:val="8"/>
        <w:numPr>
          <w:ilvl w:val="0"/>
          <w:numId w:val="1"/>
        </w:numPr>
        <w:tabs>
          <w:tab w:val="left" w:pos="1413"/>
        </w:tabs>
        <w:spacing w:before="35" w:after="0" w:line="240" w:lineRule="auto"/>
        <w:ind w:left="1412" w:right="0" w:hanging="453"/>
        <w:jc w:val="left"/>
        <w:rPr>
          <w:sz w:val="32"/>
        </w:rPr>
      </w:pPr>
      <w:r>
        <w:rPr>
          <w:sz w:val="32"/>
        </w:rPr>
        <w:t>思想政治教育引领创新创业教育发展研究；</w:t>
      </w:r>
    </w:p>
    <w:p>
      <w:pPr>
        <w:pStyle w:val="8"/>
        <w:numPr>
          <w:ilvl w:val="0"/>
          <w:numId w:val="1"/>
        </w:numPr>
        <w:tabs>
          <w:tab w:val="left" w:pos="1413"/>
        </w:tabs>
        <w:spacing w:before="34" w:after="0" w:line="254" w:lineRule="auto"/>
        <w:ind w:left="960" w:right="132" w:firstLine="0"/>
        <w:jc w:val="left"/>
        <w:rPr>
          <w:sz w:val="32"/>
        </w:rPr>
      </w:pPr>
      <w:r>
        <w:rPr>
          <w:sz w:val="32"/>
        </w:rPr>
        <w:t>马克思主义关于创新创业的理论贡献与当代价值研究。主题包括但不仅限于以上选题，论文要以创新创业教育改</w:t>
      </w:r>
    </w:p>
    <w:p>
      <w:pPr>
        <w:pStyle w:val="4"/>
        <w:spacing w:line="254" w:lineRule="auto"/>
        <w:ind w:left="320" w:right="264"/>
        <w:jc w:val="both"/>
      </w:pPr>
      <w:r>
        <w:t>革中的新情况、新问题为切入点，对区域创新创业工作的前沿理论和现实问题展开深入研究，提出新思想、新方法、新技术或新成果。</w:t>
      </w:r>
    </w:p>
    <w:p>
      <w:pPr>
        <w:pStyle w:val="3"/>
      </w:pPr>
      <w:bookmarkStart w:id="6" w:name="四、具体要求"/>
      <w:bookmarkEnd w:id="6"/>
      <w:r>
        <w:rPr>
          <w:w w:val="95"/>
        </w:rPr>
        <w:t>四、具体要求</w:t>
      </w:r>
    </w:p>
    <w:p>
      <w:pPr>
        <w:pStyle w:val="8"/>
        <w:numPr>
          <w:ilvl w:val="0"/>
          <w:numId w:val="2"/>
        </w:numPr>
        <w:tabs>
          <w:tab w:val="left" w:pos="1228"/>
        </w:tabs>
        <w:spacing w:before="31" w:after="0" w:line="254" w:lineRule="auto"/>
        <w:ind w:left="320" w:right="264" w:firstLine="640"/>
        <w:jc w:val="left"/>
        <w:rPr>
          <w:sz w:val="32"/>
        </w:rPr>
      </w:pPr>
      <w:r>
        <w:rPr>
          <w:sz w:val="32"/>
        </w:rPr>
        <w:t>投稿论文均须为未曾公开发表，论文视阈开阔、内容丰富、结构严谨、见解独特。</w:t>
      </w:r>
    </w:p>
    <w:p>
      <w:pPr>
        <w:pStyle w:val="8"/>
        <w:numPr>
          <w:ilvl w:val="0"/>
          <w:numId w:val="2"/>
        </w:numPr>
        <w:tabs>
          <w:tab w:val="left" w:pos="1228"/>
        </w:tabs>
        <w:spacing w:before="0" w:after="0" w:line="254" w:lineRule="auto"/>
        <w:ind w:left="320" w:right="264" w:firstLine="640"/>
        <w:jc w:val="left"/>
        <w:rPr>
          <w:sz w:val="32"/>
        </w:rPr>
      </w:pPr>
      <w:r>
        <w:rPr>
          <w:sz w:val="32"/>
        </w:rPr>
        <w:t>论文须严守学术道德，严禁抄袭、剽窃。对盗用他人研究成果的作品，一经发现，立即取消评奖和录用资格。</w:t>
      </w:r>
    </w:p>
    <w:p>
      <w:pPr>
        <w:pStyle w:val="8"/>
        <w:numPr>
          <w:ilvl w:val="0"/>
          <w:numId w:val="2"/>
        </w:numPr>
        <w:tabs>
          <w:tab w:val="left" w:pos="1228"/>
        </w:tabs>
        <w:spacing w:before="0" w:after="0" w:line="254" w:lineRule="auto"/>
        <w:ind w:left="320" w:right="264" w:firstLine="640"/>
        <w:jc w:val="left"/>
        <w:rPr>
          <w:sz w:val="32"/>
        </w:rPr>
      </w:pPr>
      <w:r>
        <w:rPr>
          <w:sz w:val="32"/>
        </w:rPr>
        <w:t>论文勿涉及保密内容，应确保论文内容的真实性和客观性，文责自负。</w:t>
      </w:r>
    </w:p>
    <w:p>
      <w:pPr>
        <w:pStyle w:val="8"/>
        <w:numPr>
          <w:ilvl w:val="0"/>
          <w:numId w:val="2"/>
        </w:numPr>
        <w:tabs>
          <w:tab w:val="left" w:pos="1228"/>
        </w:tabs>
        <w:spacing w:before="0" w:after="0" w:line="254" w:lineRule="auto"/>
        <w:ind w:left="320" w:right="105" w:firstLine="640"/>
        <w:jc w:val="both"/>
        <w:rPr>
          <w:sz w:val="32"/>
        </w:rPr>
      </w:pPr>
      <w:r>
        <w:rPr>
          <w:sz w:val="32"/>
        </w:rPr>
        <w:t>来稿要求论点明确、结构合理、重点突出、文字精练、数据可靠。每篇论文必须包括：题目、作者姓名、作者单位及</w:t>
      </w:r>
      <w:r>
        <w:rPr>
          <w:spacing w:val="-14"/>
          <w:w w:val="95"/>
          <w:sz w:val="32"/>
        </w:rPr>
        <w:t>单位地址、邮政编码、中文摘要及关键词、中图分类号、正文、</w:t>
      </w:r>
    </w:p>
    <w:p>
      <w:pPr>
        <w:spacing w:after="0" w:line="254" w:lineRule="auto"/>
        <w:jc w:val="both"/>
        <w:rPr>
          <w:sz w:val="32"/>
        </w:rPr>
        <w:sectPr>
          <w:pgSz w:w="11910" w:h="16840"/>
          <w:pgMar w:top="1440" w:right="1380" w:bottom="1180" w:left="1300" w:header="0" w:footer="990" w:gutter="0"/>
          <w:cols w:space="720" w:num="1"/>
        </w:sectPr>
      </w:pPr>
    </w:p>
    <w:p>
      <w:pPr>
        <w:pStyle w:val="4"/>
        <w:spacing w:line="254" w:lineRule="auto"/>
        <w:ind w:left="320" w:right="266"/>
      </w:pPr>
      <w:r>
        <w:rPr>
          <w:w w:val="95"/>
        </w:rPr>
        <w:t>参考文献、英文摘要及关键词等，文字复制比原则上不超过</w:t>
      </w:r>
      <w:r>
        <w:t>10%。</w:t>
      </w:r>
    </w:p>
    <w:p>
      <w:pPr>
        <w:pStyle w:val="8"/>
        <w:numPr>
          <w:ilvl w:val="0"/>
          <w:numId w:val="2"/>
        </w:numPr>
        <w:tabs>
          <w:tab w:val="left" w:pos="1333"/>
        </w:tabs>
        <w:spacing w:before="0" w:after="0" w:line="254" w:lineRule="auto"/>
        <w:ind w:left="320" w:right="105" w:firstLine="640"/>
        <w:jc w:val="left"/>
        <w:rPr>
          <w:sz w:val="32"/>
        </w:rPr>
      </w:pPr>
      <w:r>
        <w:rPr>
          <w:spacing w:val="-4"/>
          <w:w w:val="99"/>
          <w:sz w:val="32"/>
        </w:rPr>
        <w:t>论文立场观点必须坚决做到“两个维护”，增强“四个</w:t>
      </w:r>
      <w:r>
        <w:rPr>
          <w:spacing w:val="-25"/>
          <w:w w:val="95"/>
          <w:sz w:val="32"/>
        </w:rPr>
        <w:t>意识”，坚定“四个自信”，如有意识形态方面问题，一票否决。</w:t>
      </w:r>
    </w:p>
    <w:p>
      <w:pPr>
        <w:pStyle w:val="8"/>
        <w:numPr>
          <w:ilvl w:val="0"/>
          <w:numId w:val="2"/>
        </w:numPr>
        <w:tabs>
          <w:tab w:val="left" w:pos="1226"/>
        </w:tabs>
        <w:spacing w:before="0" w:after="0" w:line="254" w:lineRule="auto"/>
        <w:ind w:left="320" w:right="259" w:firstLine="640"/>
        <w:jc w:val="left"/>
        <w:rPr>
          <w:sz w:val="32"/>
        </w:rPr>
      </w:pPr>
      <w:r>
        <w:rPr>
          <w:spacing w:val="-7"/>
          <w:sz w:val="32"/>
        </w:rPr>
        <w:t>论文格式参考《重庆高教研究</w:t>
      </w:r>
      <w:r>
        <w:rPr>
          <w:spacing w:val="-209"/>
          <w:sz w:val="32"/>
        </w:rPr>
        <w:t>》</w:t>
      </w:r>
      <w:r>
        <w:rPr>
          <w:b/>
          <w:sz w:val="32"/>
        </w:rPr>
        <w:t>（CSSCI</w:t>
      </w:r>
      <w:r>
        <w:rPr>
          <w:b/>
          <w:spacing w:val="-11"/>
          <w:sz w:val="32"/>
        </w:rPr>
        <w:t xml:space="preserve"> 扩展版、北大中文核心期刊）</w:t>
      </w:r>
      <w:r>
        <w:rPr>
          <w:spacing w:val="-11"/>
          <w:sz w:val="32"/>
        </w:rPr>
        <w:t>格式。</w:t>
      </w:r>
    </w:p>
    <w:p>
      <w:pPr>
        <w:pStyle w:val="3"/>
        <w:spacing w:line="587" w:lineRule="exact"/>
      </w:pPr>
      <w:bookmarkStart w:id="7" w:name="五、报送方式"/>
      <w:bookmarkEnd w:id="7"/>
      <w:r>
        <w:t>五、报送方式</w:t>
      </w:r>
    </w:p>
    <w:p>
      <w:pPr>
        <w:pStyle w:val="4"/>
        <w:spacing w:before="26" w:line="254" w:lineRule="auto"/>
        <w:ind w:left="320" w:right="254" w:firstLine="640"/>
        <w:jc w:val="both"/>
      </w:pPr>
      <w:r>
        <w:t>有意者请将论文（WORD 版和PDF 版）于 2021 年 9 月5 日前，统一发送至电子邮箱（</w:t>
      </w:r>
      <w:r>
        <w:fldChar w:fldCharType="begin"/>
      </w:r>
      <w:r>
        <w:instrText xml:space="preserve"> HYPERLINK "mailto:2276829034@qq.com" \h </w:instrText>
      </w:r>
      <w:r>
        <w:fldChar w:fldCharType="separate"/>
      </w:r>
      <w:r>
        <w:t>2276829034@qq.com</w:t>
      </w:r>
      <w:r>
        <w:fldChar w:fldCharType="end"/>
      </w:r>
      <w:r>
        <w:t>）,邮件主题请注明“2021 年会论文投稿+单位名称”。</w:t>
      </w:r>
    </w:p>
    <w:p>
      <w:pPr>
        <w:pStyle w:val="3"/>
      </w:pPr>
      <w:r>
        <w:t>联系人及联系方式：</w:t>
      </w:r>
    </w:p>
    <w:p>
      <w:pPr>
        <w:pStyle w:val="4"/>
        <w:tabs>
          <w:tab w:val="left" w:pos="1599"/>
          <w:tab w:val="left" w:pos="2239"/>
          <w:tab w:val="left" w:pos="4944"/>
          <w:tab w:val="left" w:pos="6223"/>
        </w:tabs>
        <w:spacing w:before="35"/>
        <w:ind w:left="960"/>
      </w:pPr>
      <w:r>
        <w:t>王</w:t>
      </w:r>
      <w:r>
        <w:tab/>
      </w:r>
      <w:r>
        <w:t>晨</w:t>
      </w:r>
      <w:r>
        <w:tab/>
      </w:r>
      <w:r>
        <w:t>15730024622</w:t>
      </w:r>
      <w:r>
        <w:tab/>
      </w:r>
      <w:r>
        <w:t>刘友洪</w:t>
      </w:r>
      <w:r>
        <w:tab/>
      </w:r>
      <w:r>
        <w:t>15826151199</w:t>
      </w:r>
    </w:p>
    <w:p>
      <w:pPr>
        <w:pStyle w:val="4"/>
        <w:tabs>
          <w:tab w:val="left" w:pos="2239"/>
          <w:tab w:val="left" w:pos="4944"/>
          <w:tab w:val="left" w:pos="5583"/>
          <w:tab w:val="left" w:pos="6223"/>
        </w:tabs>
        <w:spacing w:before="34"/>
        <w:ind w:left="960"/>
      </w:pPr>
      <w:r>
        <w:t>陈盛兴</w:t>
      </w:r>
      <w:r>
        <w:tab/>
      </w:r>
      <w:r>
        <w:t>13983950535</w:t>
      </w:r>
      <w:r>
        <w:tab/>
      </w:r>
      <w:r>
        <w:t>李</w:t>
      </w:r>
      <w:r>
        <w:tab/>
      </w:r>
      <w:r>
        <w:t>莉</w:t>
      </w:r>
      <w:r>
        <w:tab/>
      </w:r>
      <w:r>
        <w:t>13206088987</w:t>
      </w:r>
    </w:p>
    <w:p>
      <w:pPr>
        <w:pStyle w:val="4"/>
        <w:tabs>
          <w:tab w:val="left" w:pos="2316"/>
        </w:tabs>
        <w:spacing w:before="34"/>
        <w:ind w:left="960"/>
      </w:pPr>
      <w:r>
        <w:t>E-mail:</w:t>
      </w:r>
      <w:r>
        <w:tab/>
      </w:r>
      <w:r>
        <w:fldChar w:fldCharType="begin"/>
      </w:r>
      <w:r>
        <w:instrText xml:space="preserve"> HYPERLINK "mailto:2276829034@qq.com" \h </w:instrText>
      </w:r>
      <w:r>
        <w:fldChar w:fldCharType="separate"/>
      </w:r>
      <w:r>
        <w:t>2276829034@qq.com</w:t>
      </w:r>
      <w:r>
        <w:fldChar w:fldCharType="end"/>
      </w:r>
    </w:p>
    <w:p>
      <w:pPr>
        <w:pStyle w:val="3"/>
        <w:spacing w:before="34" w:line="240" w:lineRule="auto"/>
      </w:pPr>
      <w:bookmarkStart w:id="8" w:name="六、相关说明"/>
      <w:bookmarkEnd w:id="8"/>
      <w:r>
        <w:t>六、相关说明</w:t>
      </w:r>
    </w:p>
    <w:p>
      <w:pPr>
        <w:pStyle w:val="8"/>
        <w:numPr>
          <w:ilvl w:val="0"/>
          <w:numId w:val="3"/>
        </w:numPr>
        <w:tabs>
          <w:tab w:val="left" w:pos="1228"/>
        </w:tabs>
        <w:spacing w:before="34" w:after="0" w:line="254" w:lineRule="auto"/>
        <w:ind w:left="320" w:right="264" w:firstLine="640"/>
        <w:jc w:val="both"/>
        <w:rPr>
          <w:sz w:val="32"/>
        </w:rPr>
      </w:pPr>
      <w:r>
        <w:rPr>
          <w:sz w:val="32"/>
        </w:rPr>
        <w:t>论文作者拥有著作权，学术研讨会主办单位拥有编辑权和使用权，杂志社、出版社有权根据论文出版需要，对稿件进行删改。</w:t>
      </w:r>
    </w:p>
    <w:p>
      <w:pPr>
        <w:pStyle w:val="8"/>
        <w:numPr>
          <w:ilvl w:val="0"/>
          <w:numId w:val="3"/>
        </w:numPr>
        <w:tabs>
          <w:tab w:val="left" w:pos="1228"/>
        </w:tabs>
        <w:spacing w:before="0" w:after="0" w:line="254" w:lineRule="auto"/>
        <w:ind w:left="320" w:right="264" w:firstLine="640"/>
        <w:jc w:val="both"/>
        <w:rPr>
          <w:sz w:val="32"/>
        </w:rPr>
      </w:pPr>
      <w:r>
        <w:rPr>
          <w:sz w:val="32"/>
        </w:rPr>
        <w:t>研讨会组委会将邀请本领域专家、学者、企业家组成评审委员会，对全部参评论文进行认真审读。评审委员会将邀请部分符合主题和学术规范的优秀论文作者在学术研讨会上做主题发言。</w:t>
      </w:r>
    </w:p>
    <w:p>
      <w:pPr>
        <w:spacing w:after="0" w:line="254" w:lineRule="auto"/>
        <w:jc w:val="both"/>
        <w:rPr>
          <w:sz w:val="32"/>
        </w:rPr>
        <w:sectPr>
          <w:pgSz w:w="11910" w:h="16840"/>
          <w:pgMar w:top="1440" w:right="1380" w:bottom="1180" w:left="1300" w:header="0" w:footer="990" w:gutter="0"/>
          <w:cols w:space="720" w:num="1"/>
        </w:sectPr>
      </w:pPr>
    </w:p>
    <w:p>
      <w:pPr>
        <w:pStyle w:val="8"/>
        <w:numPr>
          <w:ilvl w:val="0"/>
          <w:numId w:val="3"/>
        </w:numPr>
        <w:tabs>
          <w:tab w:val="left" w:pos="1230"/>
        </w:tabs>
        <w:spacing w:before="0" w:after="0" w:line="587" w:lineRule="exact"/>
        <w:ind w:left="1229" w:right="0" w:hanging="270"/>
        <w:jc w:val="both"/>
        <w:rPr>
          <w:sz w:val="32"/>
        </w:rPr>
      </w:pPr>
      <w:r>
        <w:rPr>
          <w:spacing w:val="3"/>
          <w:sz w:val="32"/>
        </w:rPr>
        <w:t xml:space="preserve">评审委员会将根据论文质量评选优秀论文，设特等奖 </w:t>
      </w:r>
      <w:r>
        <w:rPr>
          <w:sz w:val="32"/>
        </w:rPr>
        <w:t>2</w:t>
      </w:r>
    </w:p>
    <w:p>
      <w:pPr>
        <w:pStyle w:val="4"/>
        <w:spacing w:before="34" w:line="254" w:lineRule="auto"/>
        <w:ind w:left="320" w:right="264"/>
        <w:jc w:val="both"/>
      </w:pPr>
      <w:r>
        <w:rPr>
          <w:spacing w:val="-6"/>
        </w:rPr>
        <w:t xml:space="preserve">名，一等奖 </w:t>
      </w:r>
      <w:r>
        <w:t>4</w:t>
      </w:r>
      <w:r>
        <w:rPr>
          <w:spacing w:val="-8"/>
        </w:rPr>
        <w:t xml:space="preserve"> 名，二等奖 </w:t>
      </w:r>
      <w:r>
        <w:t>8</w:t>
      </w:r>
      <w:r>
        <w:rPr>
          <w:spacing w:val="-7"/>
        </w:rPr>
        <w:t xml:space="preserve"> 名，三等奖若干名。获奖者将获得由重庆市高等教育学会和《重庆高教研究》编辑部共同颁发的获奖证书，并给予适当奖励。</w:t>
      </w:r>
    </w:p>
    <w:p>
      <w:pPr>
        <w:pStyle w:val="8"/>
        <w:numPr>
          <w:ilvl w:val="0"/>
          <w:numId w:val="3"/>
        </w:numPr>
        <w:tabs>
          <w:tab w:val="left" w:pos="1226"/>
        </w:tabs>
        <w:spacing w:before="0" w:after="0" w:line="586" w:lineRule="exact"/>
        <w:ind w:left="1225" w:right="0" w:hanging="266"/>
        <w:jc w:val="left"/>
        <w:rPr>
          <w:sz w:val="32"/>
        </w:rPr>
      </w:pPr>
      <w:r>
        <w:rPr>
          <w:sz w:val="32"/>
        </w:rPr>
        <w:t>优秀论文将优先推荐到核心期刊或国家公开刊物发表。</w:t>
      </w:r>
    </w:p>
    <w:p>
      <w:pPr>
        <w:pStyle w:val="8"/>
        <w:numPr>
          <w:ilvl w:val="0"/>
          <w:numId w:val="3"/>
        </w:numPr>
        <w:tabs>
          <w:tab w:val="left" w:pos="1228"/>
        </w:tabs>
        <w:spacing w:before="34" w:after="0" w:line="254" w:lineRule="auto"/>
        <w:ind w:left="320" w:right="264" w:firstLine="640"/>
        <w:jc w:val="left"/>
        <w:rPr>
          <w:sz w:val="32"/>
        </w:rPr>
      </w:pPr>
      <w:r>
        <w:rPr>
          <w:sz w:val="32"/>
        </w:rPr>
        <w:t>优秀论文将由组委会编辑成论文集在国家级出版社正式出版。</w:t>
      </w:r>
    </w:p>
    <w:p>
      <w:pPr>
        <w:pStyle w:val="4"/>
        <w:rPr>
          <w:sz w:val="42"/>
        </w:rPr>
      </w:pPr>
    </w:p>
    <w:p>
      <w:pPr>
        <w:pStyle w:val="4"/>
        <w:spacing w:before="5"/>
        <w:rPr>
          <w:sz w:val="56"/>
        </w:rPr>
      </w:pPr>
    </w:p>
    <w:p>
      <w:pPr>
        <w:pStyle w:val="4"/>
        <w:tabs>
          <w:tab w:val="left" w:pos="5439"/>
        </w:tabs>
        <w:spacing w:line="292" w:lineRule="auto"/>
        <w:ind w:left="4160" w:right="266" w:hanging="2400"/>
        <w:rPr>
          <w:rFonts w:hint="eastAsia" w:ascii="仿宋" w:eastAsia="仿宋"/>
        </w:rPr>
      </w:pPr>
      <w:r>
        <w:drawing>
          <wp:anchor distT="0" distB="0" distL="0" distR="0" simplePos="0" relativeHeight="251660288" behindDoc="1" locked="0" layoutInCell="1" allowOverlap="1">
            <wp:simplePos x="0" y="0"/>
            <wp:positionH relativeFrom="page">
              <wp:posOffset>4800600</wp:posOffset>
            </wp:positionH>
            <wp:positionV relativeFrom="paragraph">
              <wp:posOffset>-567055</wp:posOffset>
            </wp:positionV>
            <wp:extent cx="1304290" cy="131508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7" cstate="print"/>
                    <a:stretch>
                      <a:fillRect/>
                    </a:stretch>
                  </pic:blipFill>
                  <pic:spPr>
                    <a:xfrm>
                      <a:off x="0" y="0"/>
                      <a:ext cx="1304544" cy="1315212"/>
                    </a:xfrm>
                    <a:prstGeom prst="rect">
                      <a:avLst/>
                    </a:prstGeom>
                  </pic:spPr>
                </pic:pic>
              </a:graphicData>
            </a:graphic>
          </wp:anchor>
        </w:drawing>
      </w:r>
      <w:r>
        <w:drawing>
          <wp:anchor distT="0" distB="0" distL="0" distR="0" simplePos="0" relativeHeight="251661312" behindDoc="1" locked="0" layoutInCell="1" allowOverlap="1">
            <wp:simplePos x="0" y="0"/>
            <wp:positionH relativeFrom="page">
              <wp:posOffset>2057400</wp:posOffset>
            </wp:positionH>
            <wp:positionV relativeFrom="paragraph">
              <wp:posOffset>-567055</wp:posOffset>
            </wp:positionV>
            <wp:extent cx="1362710" cy="130429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8" cstate="print"/>
                    <a:stretch>
                      <a:fillRect/>
                    </a:stretch>
                  </pic:blipFill>
                  <pic:spPr>
                    <a:xfrm>
                      <a:off x="0" y="0"/>
                      <a:ext cx="1362455" cy="1304543"/>
                    </a:xfrm>
                    <a:prstGeom prst="rect">
                      <a:avLst/>
                    </a:prstGeom>
                  </pic:spPr>
                </pic:pic>
              </a:graphicData>
            </a:graphic>
          </wp:anchor>
        </w:drawing>
      </w:r>
      <w:r>
        <w:rPr>
          <w:rFonts w:hint="eastAsia" w:ascii="仿宋" w:eastAsia="仿宋"/>
        </w:rPr>
        <w:t>重庆市高等教育学会</w:t>
      </w:r>
      <w:r>
        <w:rPr>
          <w:rFonts w:hint="eastAsia" w:ascii="仿宋" w:eastAsia="仿宋"/>
        </w:rPr>
        <w:tab/>
      </w:r>
      <w:r>
        <w:rPr>
          <w:rFonts w:hint="eastAsia" w:ascii="仿宋" w:eastAsia="仿宋"/>
        </w:rPr>
        <w:t>《重庆高教研究》编辑</w:t>
      </w:r>
      <w:r>
        <w:rPr>
          <w:rFonts w:hint="eastAsia" w:ascii="仿宋" w:eastAsia="仿宋"/>
          <w:spacing w:val="-15"/>
        </w:rPr>
        <w:t>部</w:t>
      </w:r>
      <w:r>
        <w:rPr>
          <w:rFonts w:hint="eastAsia" w:ascii="仿宋" w:eastAsia="仿宋"/>
        </w:rPr>
        <w:t>2021</w:t>
      </w:r>
      <w:r>
        <w:rPr>
          <w:rFonts w:hint="eastAsia" w:ascii="仿宋" w:eastAsia="仿宋"/>
          <w:spacing w:val="-81"/>
        </w:rPr>
        <w:t xml:space="preserve"> </w:t>
      </w:r>
      <w:r>
        <w:rPr>
          <w:rFonts w:hint="eastAsia" w:ascii="仿宋" w:eastAsia="仿宋"/>
        </w:rPr>
        <w:t>年</w:t>
      </w:r>
      <w:r>
        <w:rPr>
          <w:rFonts w:hint="eastAsia" w:ascii="仿宋" w:eastAsia="仿宋"/>
          <w:spacing w:val="-79"/>
        </w:rPr>
        <w:t xml:space="preserve"> </w:t>
      </w:r>
      <w:r>
        <w:rPr>
          <w:rFonts w:hint="eastAsia" w:ascii="仿宋" w:eastAsia="仿宋"/>
        </w:rPr>
        <w:t>5</w:t>
      </w:r>
      <w:r>
        <w:rPr>
          <w:rFonts w:hint="eastAsia" w:ascii="仿宋" w:eastAsia="仿宋"/>
          <w:spacing w:val="-80"/>
        </w:rPr>
        <w:t xml:space="preserve"> </w:t>
      </w:r>
      <w:r>
        <w:rPr>
          <w:rFonts w:hint="eastAsia" w:ascii="仿宋" w:eastAsia="仿宋"/>
        </w:rPr>
        <w:t>月</w:t>
      </w:r>
      <w:r>
        <w:rPr>
          <w:rFonts w:hint="eastAsia" w:ascii="仿宋" w:eastAsia="仿宋"/>
          <w:spacing w:val="-81"/>
        </w:rPr>
        <w:t xml:space="preserve"> </w:t>
      </w:r>
      <w:r>
        <w:rPr>
          <w:rFonts w:hint="eastAsia" w:ascii="仿宋" w:eastAsia="仿宋"/>
        </w:rPr>
        <w:t>31</w:t>
      </w:r>
      <w:r>
        <w:rPr>
          <w:rFonts w:hint="eastAsia" w:ascii="仿宋" w:eastAsia="仿宋"/>
          <w:spacing w:val="-80"/>
        </w:rPr>
        <w:t xml:space="preserve"> </w:t>
      </w:r>
      <w:r>
        <w:rPr>
          <w:rFonts w:hint="eastAsia" w:ascii="仿宋" w:eastAsia="仿宋"/>
        </w:rPr>
        <w:t>日</w:t>
      </w: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rPr>
          <w:rFonts w:ascii="仿宋"/>
          <w:sz w:val="20"/>
        </w:rPr>
      </w:pPr>
    </w:p>
    <w:p>
      <w:pPr>
        <w:pStyle w:val="4"/>
        <w:spacing w:before="5"/>
        <w:rPr>
          <w:rFonts w:ascii="仿宋"/>
          <w:sz w:val="25"/>
        </w:rPr>
      </w:pPr>
      <w:r>
        <mc:AlternateContent>
          <mc:Choice Requires="wpg">
            <w:drawing>
              <wp:anchor distT="0" distB="0" distL="0" distR="0" simplePos="0" relativeHeight="251662336" behindDoc="1" locked="0" layoutInCell="1" allowOverlap="1">
                <wp:simplePos x="0" y="0"/>
                <wp:positionH relativeFrom="page">
                  <wp:posOffset>913765</wp:posOffset>
                </wp:positionH>
                <wp:positionV relativeFrom="paragraph">
                  <wp:posOffset>231140</wp:posOffset>
                </wp:positionV>
                <wp:extent cx="5525135" cy="68580"/>
                <wp:effectExtent l="0" t="0" r="6985" b="7620"/>
                <wp:wrapTopAndBottom/>
                <wp:docPr id="5" name="组合 2"/>
                <wp:cNvGraphicFramePr/>
                <a:graphic xmlns:a="http://schemas.openxmlformats.org/drawingml/2006/main">
                  <a:graphicData uri="http://schemas.microsoft.com/office/word/2010/wordprocessingGroup">
                    <wpg:wgp>
                      <wpg:cNvGrpSpPr/>
                      <wpg:grpSpPr>
                        <a:xfrm>
                          <a:off x="0" y="0"/>
                          <a:ext cx="5525135" cy="68580"/>
                          <a:chOff x="1440" y="365"/>
                          <a:chExt cx="8701" cy="108"/>
                        </a:xfrm>
                      </wpg:grpSpPr>
                      <wps:wsp>
                        <wps:cNvPr id="2" name="直线 3"/>
                        <wps:cNvSpPr/>
                        <wps:spPr>
                          <a:xfrm>
                            <a:off x="1440" y="375"/>
                            <a:ext cx="8700" cy="0"/>
                          </a:xfrm>
                          <a:prstGeom prst="line">
                            <a:avLst/>
                          </a:prstGeom>
                          <a:ln w="12700" cap="flat" cmpd="sng">
                            <a:solidFill>
                              <a:srgbClr val="FF0000"/>
                            </a:solidFill>
                            <a:prstDash val="solid"/>
                            <a:headEnd type="none" w="med" len="med"/>
                            <a:tailEnd type="none" w="med" len="med"/>
                          </a:ln>
                        </wps:spPr>
                        <wps:bodyPr upright="1"/>
                      </wps:wsp>
                      <wps:wsp>
                        <wps:cNvPr id="4" name="直线 4"/>
                        <wps:cNvSpPr/>
                        <wps:spPr>
                          <a:xfrm>
                            <a:off x="1440" y="442"/>
                            <a:ext cx="8700" cy="0"/>
                          </a:xfrm>
                          <a:prstGeom prst="line">
                            <a:avLst/>
                          </a:prstGeom>
                          <a:ln w="38100" cap="flat" cmpd="sng">
                            <a:solidFill>
                              <a:srgbClr val="FF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71.95pt;margin-top:18.2pt;height:5.4pt;width:435.05pt;mso-position-horizontal-relative:page;mso-wrap-distance-bottom:0pt;mso-wrap-distance-top:0pt;z-index:-251654144;mso-width-relative:page;mso-height-relative:page;" coordorigin="1440,365" coordsize="8701,108" o:gfxdata="UEsDBAoAAAAAAIdO4kAAAAAAAAAAAAAAAAAEAAAAZHJzL1BLAwQUAAAACACHTuJAmh9Bb9kAAAAK&#10;AQAADwAAAGRycy9kb3ducmV2LnhtbE2PQUvDQBCF74L/YRnBm93dJlaN2RQp6qkItoJ42ybTJDQ7&#10;G7LbpP33Tk96fMzHm+/ly5PrxIhDaD0Z0DMFAqn0VUu1ga/t290jiBAtVbbzhAbOGGBZXF/lNqv8&#10;RJ84bmItuIRCZg00MfaZlKFs0Nkw8z0S3/Z+cDZyHGpZDXbictfJuVIL6WxL/KGxPa4aLA+bozPw&#10;PtnpJdGv4/qwX51/tvcf32uNxtzeaPUMIuIp/sFw0Wd1KNhp549UBdFxTpMnRg0kixTEBVA65XU7&#10;A+nDHGSRy/8Til9QSwMEFAAAAAgAh07iQPbjfByBAgAACwcAAA4AAABkcnMvZTJvRG9jLnhtbOWV&#10;u5LTMBSGe2Z4B4161nYuux7POluQzTYM7MzCAyiybGtGt5GUOOkpKOl5DSooeJqdfQ2OZMeBQLHA&#10;QEMKR9bl6PzfLx1fXu2kQFtmHdeqxNlZihFTVFdcNSV+83r1LMfIeaIqIrRiJd4zh68WT59cdqZg&#10;E91qUTGLIIhyRWdK3HpviiRxtGWSuDNtmILBWltJPLzaJqks6SC6FMkkTc+TTtvKWE2Zc9C77Afx&#10;ENE+JqCua07ZUtONZMr3US0TxIMk13Lj8CJmW9eM+ld17ZhHosSg1McnbALtdXgmi0tSNJaYltMh&#10;BfKYFE40ScIVbDqGWhJP0MbyH0JJTq12uvZnVMukFxKJgIosPWFzY/XGRC1N0TVmhA5GnVD/7bD0&#10;5fbWIl6VeI6RIhIMf/j89v79OzQJbDrTFDDlxpo7c2uHjqZ/C3J3tZXhH4SgXaS6H6mynUcUOufz&#10;yTybQngKY+f5PB+o0xasCauy2QzsgMHp+bw3hLbXw+L8Is36lVmah8HksGkSchtT6QycRndE5P4M&#10;0V1LDIvkXdA/IJqMiD58fPj0BU17RHHKyMcVDlD9BM5R5sUg80AIRAKAgCeiGSWSwljnb5iWKDRK&#10;LLgKWZGCbF8439M4TAndQqEOeE76eARuZw23AkJLAw471cTFTgterbgQYYmzzfq5sGhL4IasVin8&#10;BszfTQu7LIlr+3lxqLeqZaS6VhXyewNnR0HJwCEHySqMBIMKE1qQKSk84eIxM0G+UGB0sLRHGVpr&#10;Xe3Bho2xvGkBRRazHGwPB/Uf+D878X8Wcgg7wxH5Bf9ns3i3SPGX/J/mWTxP/5P/sRpAjYwFYqjn&#10;oQh/+x7P1PEbtvgK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mh9Bb9kAAAAKAQAADwAAAAAAAAAB&#10;ACAAAAAiAAAAZHJzL2Rvd25yZXYueG1sUEsBAhQAFAAAAAgAh07iQPbjfByBAgAACwcAAA4AAAAA&#10;AAAAAQAgAAAAKAEAAGRycy9lMm9Eb2MueG1sUEsFBgAAAAAGAAYAWQEAABsGAAAAAA==&#10;">
                <o:lock v:ext="edit" aspectratio="f"/>
                <v:line id="直线 3" o:spid="_x0000_s1026" o:spt="20" style="position:absolute;left:1440;top:375;height:0;width:8700;" filled="f" stroked="t" coordsize="21600,21600" o:gfxdata="UEsDBAoAAAAAAIdO4kAAAAAAAAAAAAAAAAAEAAAAZHJzL1BLAwQUAAAACACHTuJANkRbDb4AAADa&#10;AAAADwAAAGRycy9kb3ducmV2LnhtbEWPT2sCMRTE7wW/Q3iCt5pVpH+2RikFpYd60NqDt+fmdbO6&#10;eVmSdHf99kYoeBxm5jfMfNnbWrTkQ+VYwWScgSAunK64VLD/Xj2+gAgRWWPtmBRcKMByMXiYY65d&#10;x1tqd7EUCcIhRwUmxiaXMhSGLIaxa4iT9+u8xZikL6X22CW4reU0y56kxYrTgsGGPgwV592fVTD7&#10;+jk2nTeH/XbdP79S37Wb07tSo+EkewMRqY/38H/7UyuYwu1KugFyc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RbDb4A&#10;AADaAAAADwAAAAAAAAABACAAAAAiAAAAZHJzL2Rvd25yZXYueG1sUEsBAhQAFAAAAAgAh07iQDMv&#10;BZ47AAAAOQAAABAAAAAAAAAAAQAgAAAADQEAAGRycy9zaGFwZXhtbC54bWxQSwUGAAAAAAYABgBb&#10;AQAAtwMAAAAA&#10;">
                  <v:fill on="f" focussize="0,0"/>
                  <v:stroke weight="1pt" color="#FF0000" joinstyle="round"/>
                  <v:imagedata o:title=""/>
                  <o:lock v:ext="edit" aspectratio="f"/>
                </v:line>
                <v:line id="直线 4" o:spid="_x0000_s1026" o:spt="20" style="position:absolute;left:1440;top:442;height:0;width:8700;" filled="f" stroked="t" coordsize="21600,21600" o:gfxdata="UEsDBAoAAAAAAIdO4kAAAAAAAAAAAAAAAAAEAAAAZHJzL1BLAwQUAAAACACHTuJARdyZYb8AAADa&#10;AAAADwAAAGRycy9kb3ducmV2LnhtbEWPT2vCQBTE74LfYXlCL6VuLKVIdBNEKE3roRoL4u2RfSbB&#10;7Nt0d/3Tb98tCB6HmfkNM8+vphNncr61rGAyTkAQV1a3XCv43r49TUH4gKyxs0wKfslDng0Hc0y1&#10;vfCGzmWoRYSwT1FBE0KfSumrhgz6se2Jo3ewzmCI0tVSO7xEuOnkc5K8SoMtx4UGe1o2VB3Lk1Fg&#10;vsxC7lfvp9KtPz53P6tifXwslHoYTZIZiEDXcA/f2oVW8AL/V+INk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cmWG/&#10;AAAA2gAAAA8AAAAAAAAAAQAgAAAAIgAAAGRycy9kb3ducmV2LnhtbFBLAQIUABQAAAAIAIdO4kAz&#10;LwWeOwAAADkAAAAQAAAAAAAAAAEAIAAAAA4BAABkcnMvc2hhcGV4bWwueG1sUEsFBgAAAAAGAAYA&#10;WwEAALgDAAAAAA==&#10;">
                  <v:fill on="f" focussize="0,0"/>
                  <v:stroke weight="3pt" color="#FF0000" joinstyle="round"/>
                  <v:imagedata o:title=""/>
                  <o:lock v:ext="edit" aspectratio="f"/>
                </v:line>
                <w10:wrap type="topAndBottom"/>
              </v:group>
            </w:pict>
          </mc:Fallback>
        </mc:AlternateContent>
      </w:r>
    </w:p>
    <w:sectPr>
      <w:pgSz w:w="11910" w:h="16840"/>
      <w:pgMar w:top="1440" w:right="1380" w:bottom="1180" w:left="1300" w:header="0" w:footer="9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3644900</wp:posOffset>
              </wp:positionH>
              <wp:positionV relativeFrom="page">
                <wp:posOffset>9923780</wp:posOffset>
              </wp:positionV>
              <wp:extent cx="321310" cy="223520"/>
              <wp:effectExtent l="0" t="0" r="0" b="0"/>
              <wp:wrapNone/>
              <wp:docPr id="6" name="文本框 1"/>
              <wp:cNvGraphicFramePr/>
              <a:graphic xmlns:a="http://schemas.openxmlformats.org/drawingml/2006/main">
                <a:graphicData uri="http://schemas.microsoft.com/office/word/2010/wordprocessingShape">
                  <wps:wsp>
                    <wps:cNvSpPr txBox="1"/>
                    <wps:spPr>
                      <a:xfrm>
                        <a:off x="0" y="0"/>
                        <a:ext cx="321310" cy="223520"/>
                      </a:xfrm>
                      <a:prstGeom prst="rect">
                        <a:avLst/>
                      </a:prstGeom>
                      <a:noFill/>
                      <a:ln>
                        <a:noFill/>
                      </a:ln>
                    </wps:spPr>
                    <wps:txbx>
                      <w:txbxContent>
                        <w:p>
                          <w:pPr>
                            <w:spacing w:before="9"/>
                            <w:ind w:left="20" w:right="0" w:firstLine="0"/>
                            <w:jc w:val="left"/>
                            <w:rPr>
                              <w:rFonts w:ascii="Times New Roman"/>
                              <w:sz w:val="28"/>
                            </w:rPr>
                          </w:pPr>
                          <w:r>
                            <w:rPr>
                              <w:rFonts w:ascii="Times New Roman"/>
                              <w:sz w:val="28"/>
                            </w:rPr>
                            <w:t xml:space="preserve">- </w:t>
                          </w:r>
                          <w:r>
                            <w:fldChar w:fldCharType="begin"/>
                          </w:r>
                          <w:r>
                            <w:rPr>
                              <w:rFonts w:ascii="Times New Roman"/>
                              <w:sz w:val="28"/>
                            </w:rPr>
                            <w:instrText xml:space="preserve"> PAGE </w:instrText>
                          </w:r>
                          <w:r>
                            <w:fldChar w:fldCharType="separate"/>
                          </w:r>
                          <w:r>
                            <w:t>1</w:t>
                          </w:r>
                          <w:r>
                            <w:fldChar w:fldCharType="end"/>
                          </w:r>
                          <w:r>
                            <w:rPr>
                              <w:rFonts w:ascii="Times New Roman"/>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287pt;margin-top:781.4pt;height:17.6pt;width:25.3pt;mso-position-horizontal-relative:page;mso-position-vertical-relative:page;z-index:-251657216;mso-width-relative:page;mso-height-relative:page;" filled="f" stroked="f" coordsize="21600,21600" o:gfxdata="UEsDBAoAAAAAAIdO4kAAAAAAAAAAAAAAAAAEAAAAZHJzL1BLAwQUAAAACACHTuJAF1jt6NsAAAAN&#10;AQAADwAAAGRycy9kb3ducmV2LnhtbE2PzU7DMBCE70i8g7VI3KjdqDVtiFMhBCckRBoOHJ3YTazG&#10;6xC7P7w92xM97sxodr5ic/YDO9opuoAK5jMBzGIbjMNOwVf99rACFpNGo4eAVsGvjbApb28KnZtw&#10;wsoet6ljVIIx1wr6lMac89j21us4C6NF8nZh8jrROXXcTPpE5X7gmRCSe+2QPvR6tC+9bffbg1fw&#10;/I3Vq/v5aD6rXeXqei3wXe6Vur+biydgyZ7Tfxgu82k6lLSpCQc0kQ0Klo8LYklkLGVGEBSR2UIC&#10;ay7SeiWAlwW/pij/AFBLAwQUAAAACACHTuJAXyfVoLkBAABxAwAADgAAAGRycy9lMm9Eb2MueG1s&#10;rVM7jtswEO0D7B0I9jEtGVkEguUFAmODBYIkwCYHoCnSIsAfOLQlXyC5Qao06XMunyND2vL+mi3S&#10;UKOZ0Zv33lDLm9EaspcRtHctrWZzSqQTvtNu29Lv327fvqcEEncdN97Jlh4k0JvV1ZvlEBpZ+96b&#10;TkaCIA6aIbS0Tyk0jIHopeUw80E6LCofLU/4Gresi3xAdGtYPZ9fs8HHLkQvJABm16ciPSPG1wB6&#10;pbSQay92Vrp0Qo3S8ISSoNcB6KqwVUqK9EUpkImYlqLSVE4cgvEmn2y15M028tBrcabAX0PhmSbL&#10;tcOhF6g1T5zson4BZbWIHrxKM+EtOwkpjqCKav7Mm/ueB1m0oNUQLqbD/4MVn/dfI9FdS68pcdzi&#10;wo+/fh5//z3++UGqbM8QoMGu+4B9afzgR7w0Ux4wmVWPKtr8RD0E62ju4WKuHBMRmFzU1aLCisBS&#10;XS/e1cV89vBxiJA+Sm9JDloacXfFUr7/BAmJYOvUkmc5f6uNKfsz7kkCG3OGZeYnhjlK42Y8y9n4&#10;7oBqzJ1DJ/OtmII4BZsp2IWotz3SKZoLJG6ikDnfmrzqx+9l8MOfsvo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1jt6NsAAAANAQAADwAAAAAAAAABACAAAAAiAAAAZHJzL2Rvd25yZXYueG1sUEsB&#10;AhQAFAAAAAgAh07iQF8n1aC5AQAAcQMAAA4AAAAAAAAAAQAgAAAAKgEAAGRycy9lMm9Eb2MueG1s&#10;UEsFBgAAAAAGAAYAWQEAAFUFAAAAAA==&#10;">
              <v:fill on="f" focussize="0,0"/>
              <v:stroke on="f"/>
              <v:imagedata o:title=""/>
              <o:lock v:ext="edit" aspectratio="f"/>
              <v:textbox inset="0mm,0mm,0mm,0mm">
                <w:txbxContent>
                  <w:p>
                    <w:pPr>
                      <w:spacing w:before="9"/>
                      <w:ind w:left="20" w:right="0" w:firstLine="0"/>
                      <w:jc w:val="left"/>
                      <w:rPr>
                        <w:rFonts w:ascii="Times New Roman"/>
                        <w:sz w:val="28"/>
                      </w:rPr>
                    </w:pPr>
                    <w:r>
                      <w:rPr>
                        <w:rFonts w:ascii="Times New Roman"/>
                        <w:sz w:val="28"/>
                      </w:rPr>
                      <w:t xml:space="preserve">- </w:t>
                    </w:r>
                    <w:r>
                      <w:fldChar w:fldCharType="begin"/>
                    </w:r>
                    <w:r>
                      <w:rPr>
                        <w:rFonts w:ascii="Times New Roman"/>
                        <w:sz w:val="28"/>
                      </w:rPr>
                      <w:instrText xml:space="preserve"> PAGE </w:instrText>
                    </w:r>
                    <w:r>
                      <w:fldChar w:fldCharType="separate"/>
                    </w:r>
                    <w:r>
                      <w:t>1</w:t>
                    </w:r>
                    <w:r>
                      <w:fldChar w:fldCharType="end"/>
                    </w:r>
                    <w:r>
                      <w:rPr>
                        <w:rFonts w:ascii="Times New Roman"/>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320" w:hanging="267"/>
        <w:jc w:val="left"/>
      </w:pPr>
      <w:rPr>
        <w:rFonts w:hint="default" w:ascii="微软雅黑" w:hAnsi="微软雅黑" w:eastAsia="微软雅黑" w:cs="微软雅黑"/>
        <w:w w:val="99"/>
        <w:sz w:val="30"/>
        <w:szCs w:val="30"/>
        <w:lang w:val="zh-CN" w:eastAsia="zh-CN" w:bidi="zh-CN"/>
      </w:rPr>
    </w:lvl>
    <w:lvl w:ilvl="1" w:tentative="0">
      <w:start w:val="0"/>
      <w:numFmt w:val="bullet"/>
      <w:lvlText w:val="•"/>
      <w:lvlJc w:val="left"/>
      <w:pPr>
        <w:ind w:left="1210" w:hanging="267"/>
      </w:pPr>
      <w:rPr>
        <w:rFonts w:hint="default"/>
        <w:lang w:val="zh-CN" w:eastAsia="zh-CN" w:bidi="zh-CN"/>
      </w:rPr>
    </w:lvl>
    <w:lvl w:ilvl="2" w:tentative="0">
      <w:start w:val="0"/>
      <w:numFmt w:val="bullet"/>
      <w:lvlText w:val="•"/>
      <w:lvlJc w:val="left"/>
      <w:pPr>
        <w:ind w:left="2101" w:hanging="267"/>
      </w:pPr>
      <w:rPr>
        <w:rFonts w:hint="default"/>
        <w:lang w:val="zh-CN" w:eastAsia="zh-CN" w:bidi="zh-CN"/>
      </w:rPr>
    </w:lvl>
    <w:lvl w:ilvl="3" w:tentative="0">
      <w:start w:val="0"/>
      <w:numFmt w:val="bullet"/>
      <w:lvlText w:val="•"/>
      <w:lvlJc w:val="left"/>
      <w:pPr>
        <w:ind w:left="2991" w:hanging="267"/>
      </w:pPr>
      <w:rPr>
        <w:rFonts w:hint="default"/>
        <w:lang w:val="zh-CN" w:eastAsia="zh-CN" w:bidi="zh-CN"/>
      </w:rPr>
    </w:lvl>
    <w:lvl w:ilvl="4" w:tentative="0">
      <w:start w:val="0"/>
      <w:numFmt w:val="bullet"/>
      <w:lvlText w:val="•"/>
      <w:lvlJc w:val="left"/>
      <w:pPr>
        <w:ind w:left="3882" w:hanging="267"/>
      </w:pPr>
      <w:rPr>
        <w:rFonts w:hint="default"/>
        <w:lang w:val="zh-CN" w:eastAsia="zh-CN" w:bidi="zh-CN"/>
      </w:rPr>
    </w:lvl>
    <w:lvl w:ilvl="5" w:tentative="0">
      <w:start w:val="0"/>
      <w:numFmt w:val="bullet"/>
      <w:lvlText w:val="•"/>
      <w:lvlJc w:val="left"/>
      <w:pPr>
        <w:ind w:left="4773" w:hanging="267"/>
      </w:pPr>
      <w:rPr>
        <w:rFonts w:hint="default"/>
        <w:lang w:val="zh-CN" w:eastAsia="zh-CN" w:bidi="zh-CN"/>
      </w:rPr>
    </w:lvl>
    <w:lvl w:ilvl="6" w:tentative="0">
      <w:start w:val="0"/>
      <w:numFmt w:val="bullet"/>
      <w:lvlText w:val="•"/>
      <w:lvlJc w:val="left"/>
      <w:pPr>
        <w:ind w:left="5663" w:hanging="267"/>
      </w:pPr>
      <w:rPr>
        <w:rFonts w:hint="default"/>
        <w:lang w:val="zh-CN" w:eastAsia="zh-CN" w:bidi="zh-CN"/>
      </w:rPr>
    </w:lvl>
    <w:lvl w:ilvl="7" w:tentative="0">
      <w:start w:val="0"/>
      <w:numFmt w:val="bullet"/>
      <w:lvlText w:val="•"/>
      <w:lvlJc w:val="left"/>
      <w:pPr>
        <w:ind w:left="6554" w:hanging="267"/>
      </w:pPr>
      <w:rPr>
        <w:rFonts w:hint="default"/>
        <w:lang w:val="zh-CN" w:eastAsia="zh-CN" w:bidi="zh-CN"/>
      </w:rPr>
    </w:lvl>
    <w:lvl w:ilvl="8" w:tentative="0">
      <w:start w:val="0"/>
      <w:numFmt w:val="bullet"/>
      <w:lvlText w:val="•"/>
      <w:lvlJc w:val="left"/>
      <w:pPr>
        <w:ind w:left="7444" w:hanging="267"/>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1225" w:hanging="265"/>
        <w:jc w:val="left"/>
      </w:pPr>
      <w:rPr>
        <w:rFonts w:hint="default" w:ascii="微软雅黑" w:hAnsi="微软雅黑" w:eastAsia="微软雅黑" w:cs="微软雅黑"/>
        <w:w w:val="99"/>
        <w:sz w:val="30"/>
        <w:szCs w:val="30"/>
        <w:lang w:val="zh-CN" w:eastAsia="zh-CN" w:bidi="zh-CN"/>
      </w:rPr>
    </w:lvl>
    <w:lvl w:ilvl="1" w:tentative="0">
      <w:start w:val="0"/>
      <w:numFmt w:val="bullet"/>
      <w:lvlText w:val="•"/>
      <w:lvlJc w:val="left"/>
      <w:pPr>
        <w:ind w:left="2020" w:hanging="265"/>
      </w:pPr>
      <w:rPr>
        <w:rFonts w:hint="default"/>
        <w:lang w:val="zh-CN" w:eastAsia="zh-CN" w:bidi="zh-CN"/>
      </w:rPr>
    </w:lvl>
    <w:lvl w:ilvl="2" w:tentative="0">
      <w:start w:val="0"/>
      <w:numFmt w:val="bullet"/>
      <w:lvlText w:val="•"/>
      <w:lvlJc w:val="left"/>
      <w:pPr>
        <w:ind w:left="2821" w:hanging="265"/>
      </w:pPr>
      <w:rPr>
        <w:rFonts w:hint="default"/>
        <w:lang w:val="zh-CN" w:eastAsia="zh-CN" w:bidi="zh-CN"/>
      </w:rPr>
    </w:lvl>
    <w:lvl w:ilvl="3" w:tentative="0">
      <w:start w:val="0"/>
      <w:numFmt w:val="bullet"/>
      <w:lvlText w:val="•"/>
      <w:lvlJc w:val="left"/>
      <w:pPr>
        <w:ind w:left="3621" w:hanging="265"/>
      </w:pPr>
      <w:rPr>
        <w:rFonts w:hint="default"/>
        <w:lang w:val="zh-CN" w:eastAsia="zh-CN" w:bidi="zh-CN"/>
      </w:rPr>
    </w:lvl>
    <w:lvl w:ilvl="4" w:tentative="0">
      <w:start w:val="0"/>
      <w:numFmt w:val="bullet"/>
      <w:lvlText w:val="•"/>
      <w:lvlJc w:val="left"/>
      <w:pPr>
        <w:ind w:left="4422" w:hanging="265"/>
      </w:pPr>
      <w:rPr>
        <w:rFonts w:hint="default"/>
        <w:lang w:val="zh-CN" w:eastAsia="zh-CN" w:bidi="zh-CN"/>
      </w:rPr>
    </w:lvl>
    <w:lvl w:ilvl="5" w:tentative="0">
      <w:start w:val="0"/>
      <w:numFmt w:val="bullet"/>
      <w:lvlText w:val="•"/>
      <w:lvlJc w:val="left"/>
      <w:pPr>
        <w:ind w:left="5223" w:hanging="265"/>
      </w:pPr>
      <w:rPr>
        <w:rFonts w:hint="default"/>
        <w:lang w:val="zh-CN" w:eastAsia="zh-CN" w:bidi="zh-CN"/>
      </w:rPr>
    </w:lvl>
    <w:lvl w:ilvl="6" w:tentative="0">
      <w:start w:val="0"/>
      <w:numFmt w:val="bullet"/>
      <w:lvlText w:val="•"/>
      <w:lvlJc w:val="left"/>
      <w:pPr>
        <w:ind w:left="6023" w:hanging="265"/>
      </w:pPr>
      <w:rPr>
        <w:rFonts w:hint="default"/>
        <w:lang w:val="zh-CN" w:eastAsia="zh-CN" w:bidi="zh-CN"/>
      </w:rPr>
    </w:lvl>
    <w:lvl w:ilvl="7" w:tentative="0">
      <w:start w:val="0"/>
      <w:numFmt w:val="bullet"/>
      <w:lvlText w:val="•"/>
      <w:lvlJc w:val="left"/>
      <w:pPr>
        <w:ind w:left="6824" w:hanging="265"/>
      </w:pPr>
      <w:rPr>
        <w:rFonts w:hint="default"/>
        <w:lang w:val="zh-CN" w:eastAsia="zh-CN" w:bidi="zh-CN"/>
      </w:rPr>
    </w:lvl>
    <w:lvl w:ilvl="8" w:tentative="0">
      <w:start w:val="0"/>
      <w:numFmt w:val="bullet"/>
      <w:lvlText w:val="•"/>
      <w:lvlJc w:val="left"/>
      <w:pPr>
        <w:ind w:left="7624" w:hanging="265"/>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320" w:hanging="267"/>
        <w:jc w:val="left"/>
      </w:pPr>
      <w:rPr>
        <w:rFonts w:hint="default" w:ascii="微软雅黑" w:hAnsi="微软雅黑" w:eastAsia="微软雅黑" w:cs="微软雅黑"/>
        <w:w w:val="99"/>
        <w:sz w:val="30"/>
        <w:szCs w:val="30"/>
        <w:lang w:val="zh-CN" w:eastAsia="zh-CN" w:bidi="zh-CN"/>
      </w:rPr>
    </w:lvl>
    <w:lvl w:ilvl="1" w:tentative="0">
      <w:start w:val="0"/>
      <w:numFmt w:val="bullet"/>
      <w:lvlText w:val="•"/>
      <w:lvlJc w:val="left"/>
      <w:pPr>
        <w:ind w:left="1210" w:hanging="267"/>
      </w:pPr>
      <w:rPr>
        <w:rFonts w:hint="default"/>
        <w:lang w:val="zh-CN" w:eastAsia="zh-CN" w:bidi="zh-CN"/>
      </w:rPr>
    </w:lvl>
    <w:lvl w:ilvl="2" w:tentative="0">
      <w:start w:val="0"/>
      <w:numFmt w:val="bullet"/>
      <w:lvlText w:val="•"/>
      <w:lvlJc w:val="left"/>
      <w:pPr>
        <w:ind w:left="2101" w:hanging="267"/>
      </w:pPr>
      <w:rPr>
        <w:rFonts w:hint="default"/>
        <w:lang w:val="zh-CN" w:eastAsia="zh-CN" w:bidi="zh-CN"/>
      </w:rPr>
    </w:lvl>
    <w:lvl w:ilvl="3" w:tentative="0">
      <w:start w:val="0"/>
      <w:numFmt w:val="bullet"/>
      <w:lvlText w:val="•"/>
      <w:lvlJc w:val="left"/>
      <w:pPr>
        <w:ind w:left="2991" w:hanging="267"/>
      </w:pPr>
      <w:rPr>
        <w:rFonts w:hint="default"/>
        <w:lang w:val="zh-CN" w:eastAsia="zh-CN" w:bidi="zh-CN"/>
      </w:rPr>
    </w:lvl>
    <w:lvl w:ilvl="4" w:tentative="0">
      <w:start w:val="0"/>
      <w:numFmt w:val="bullet"/>
      <w:lvlText w:val="•"/>
      <w:lvlJc w:val="left"/>
      <w:pPr>
        <w:ind w:left="3882" w:hanging="267"/>
      </w:pPr>
      <w:rPr>
        <w:rFonts w:hint="default"/>
        <w:lang w:val="zh-CN" w:eastAsia="zh-CN" w:bidi="zh-CN"/>
      </w:rPr>
    </w:lvl>
    <w:lvl w:ilvl="5" w:tentative="0">
      <w:start w:val="0"/>
      <w:numFmt w:val="bullet"/>
      <w:lvlText w:val="•"/>
      <w:lvlJc w:val="left"/>
      <w:pPr>
        <w:ind w:left="4773" w:hanging="267"/>
      </w:pPr>
      <w:rPr>
        <w:rFonts w:hint="default"/>
        <w:lang w:val="zh-CN" w:eastAsia="zh-CN" w:bidi="zh-CN"/>
      </w:rPr>
    </w:lvl>
    <w:lvl w:ilvl="6" w:tentative="0">
      <w:start w:val="0"/>
      <w:numFmt w:val="bullet"/>
      <w:lvlText w:val="•"/>
      <w:lvlJc w:val="left"/>
      <w:pPr>
        <w:ind w:left="5663" w:hanging="267"/>
      </w:pPr>
      <w:rPr>
        <w:rFonts w:hint="default"/>
        <w:lang w:val="zh-CN" w:eastAsia="zh-CN" w:bidi="zh-CN"/>
      </w:rPr>
    </w:lvl>
    <w:lvl w:ilvl="7" w:tentative="0">
      <w:start w:val="0"/>
      <w:numFmt w:val="bullet"/>
      <w:lvlText w:val="•"/>
      <w:lvlJc w:val="left"/>
      <w:pPr>
        <w:ind w:left="6554" w:hanging="267"/>
      </w:pPr>
      <w:rPr>
        <w:rFonts w:hint="default"/>
        <w:lang w:val="zh-CN" w:eastAsia="zh-CN" w:bidi="zh-CN"/>
      </w:rPr>
    </w:lvl>
    <w:lvl w:ilvl="8" w:tentative="0">
      <w:start w:val="0"/>
      <w:numFmt w:val="bullet"/>
      <w:lvlText w:val="•"/>
      <w:lvlJc w:val="left"/>
      <w:pPr>
        <w:ind w:left="7444" w:hanging="267"/>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D64A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before="6"/>
      <w:ind w:left="572" w:right="519"/>
      <w:jc w:val="center"/>
      <w:outlineLvl w:val="1"/>
    </w:pPr>
    <w:rPr>
      <w:rFonts w:ascii="微软雅黑" w:hAnsi="微软雅黑" w:eastAsia="微软雅黑" w:cs="微软雅黑"/>
      <w:b/>
      <w:bCs/>
      <w:sz w:val="44"/>
      <w:szCs w:val="44"/>
      <w:lang w:val="zh-CN" w:eastAsia="zh-CN" w:bidi="zh-CN"/>
    </w:rPr>
  </w:style>
  <w:style w:type="paragraph" w:styleId="3">
    <w:name w:val="heading 2"/>
    <w:basedOn w:val="1"/>
    <w:next w:val="1"/>
    <w:qFormat/>
    <w:uiPriority w:val="1"/>
    <w:pPr>
      <w:spacing w:line="586" w:lineRule="exact"/>
      <w:ind w:left="960"/>
      <w:outlineLvl w:val="2"/>
    </w:pPr>
    <w:rPr>
      <w:rFonts w:ascii="微软雅黑" w:hAnsi="微软雅黑" w:eastAsia="微软雅黑" w:cs="微软雅黑"/>
      <w:b/>
      <w:bCs/>
      <w:sz w:val="32"/>
      <w:szCs w:val="32"/>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微软雅黑" w:hAnsi="微软雅黑" w:eastAsia="微软雅黑" w:cs="微软雅黑"/>
      <w:sz w:val="32"/>
      <w:szCs w:val="32"/>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34"/>
      <w:ind w:left="1225" w:hanging="266"/>
    </w:pPr>
    <w:rPr>
      <w:rFonts w:ascii="微软雅黑" w:hAnsi="微软雅黑" w:eastAsia="微软雅黑" w:cs="微软雅黑"/>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2021-06-03T06:50:00Z</dcterms:created>
  <dc:creator>Administrator</dc:creator>
  <cp:lastModifiedBy>长安有故里♡</cp:lastModifiedBy>
  <dcterms:modified xsi:type="dcterms:W3CDTF">2021-06-03T06:52:44Z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2021-06-01T00:00:00Z</vt:filetime>
  </property>
  <property fmtid="{D5CDD505-2E9C-101B-9397-08002B2CF9AE}" pid="3" name="Creator">
    <vt:lpwstr>WPS 文字</vt:lpwstr>
  </property>
  <property fmtid="{D5CDD505-2E9C-101B-9397-08002B2CF9AE}" pid="4" name="LastSaved">
    <vt:filetime>2021-06-03T00:00:00Z</vt:filetime>
  </property>
  <property fmtid="{D5CDD505-2E9C-101B-9397-08002B2CF9AE}" pid="5" name="KSOProductBuildVer">
    <vt:lpwstr>2052-11.1.0.10495</vt:lpwstr>
  </property>
  <property fmtid="{D5CDD505-2E9C-101B-9397-08002B2CF9AE}" pid="6" name="ICV">
    <vt:lpwstr>5901B3979ECF44099D9EC14DDDA9E573</vt:lpwstr>
  </property>
</Properties>
</file>